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0E82" w14:textId="77777777" w:rsidR="00977F01" w:rsidRDefault="00F53933">
      <w:pPr>
        <w:pStyle w:val="1"/>
        <w:spacing w:before="67"/>
        <w:ind w:right="2993"/>
        <w:jc w:val="center"/>
      </w:pPr>
      <w:r>
        <w:rPr>
          <w:color w:val="808080"/>
        </w:rPr>
        <w:t>Clearing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Participant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Regulation</w:t>
      </w:r>
    </w:p>
    <w:p w14:paraId="2C417CD3" w14:textId="173909A8" w:rsidR="00977F01" w:rsidRDefault="00F53933">
      <w:pPr>
        <w:pStyle w:val="a3"/>
        <w:spacing w:before="8"/>
        <w:rPr>
          <w:rFonts w:ascii="Times New Roman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13B3D85" wp14:editId="6032C83F">
                <wp:simplePos x="0" y="0"/>
                <wp:positionH relativeFrom="page">
                  <wp:posOffset>896620</wp:posOffset>
                </wp:positionH>
                <wp:positionV relativeFrom="paragraph">
                  <wp:posOffset>88265</wp:posOffset>
                </wp:positionV>
                <wp:extent cx="5770880" cy="55245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55245"/>
                        </a:xfrm>
                        <a:custGeom>
                          <a:avLst/>
                          <a:gdLst>
                            <a:gd name="T0" fmla="+- 0 10499 1412"/>
                            <a:gd name="T1" fmla="*/ T0 w 9088"/>
                            <a:gd name="T2" fmla="+- 0 197 139"/>
                            <a:gd name="T3" fmla="*/ 197 h 87"/>
                            <a:gd name="T4" fmla="+- 0 1412 1412"/>
                            <a:gd name="T5" fmla="*/ T4 w 9088"/>
                            <a:gd name="T6" fmla="+- 0 197 139"/>
                            <a:gd name="T7" fmla="*/ 197 h 87"/>
                            <a:gd name="T8" fmla="+- 0 1412 1412"/>
                            <a:gd name="T9" fmla="*/ T8 w 9088"/>
                            <a:gd name="T10" fmla="+- 0 225 139"/>
                            <a:gd name="T11" fmla="*/ 225 h 87"/>
                            <a:gd name="T12" fmla="+- 0 10499 1412"/>
                            <a:gd name="T13" fmla="*/ T12 w 9088"/>
                            <a:gd name="T14" fmla="+- 0 225 139"/>
                            <a:gd name="T15" fmla="*/ 225 h 87"/>
                            <a:gd name="T16" fmla="+- 0 10499 1412"/>
                            <a:gd name="T17" fmla="*/ T16 w 9088"/>
                            <a:gd name="T18" fmla="+- 0 197 139"/>
                            <a:gd name="T19" fmla="*/ 197 h 87"/>
                            <a:gd name="T20" fmla="+- 0 10499 1412"/>
                            <a:gd name="T21" fmla="*/ T20 w 9088"/>
                            <a:gd name="T22" fmla="+- 0 139 139"/>
                            <a:gd name="T23" fmla="*/ 139 h 87"/>
                            <a:gd name="T24" fmla="+- 0 1412 1412"/>
                            <a:gd name="T25" fmla="*/ T24 w 9088"/>
                            <a:gd name="T26" fmla="+- 0 139 139"/>
                            <a:gd name="T27" fmla="*/ 139 h 87"/>
                            <a:gd name="T28" fmla="+- 0 1412 1412"/>
                            <a:gd name="T29" fmla="*/ T28 w 9088"/>
                            <a:gd name="T30" fmla="+- 0 168 139"/>
                            <a:gd name="T31" fmla="*/ 168 h 87"/>
                            <a:gd name="T32" fmla="+- 0 10499 1412"/>
                            <a:gd name="T33" fmla="*/ T32 w 9088"/>
                            <a:gd name="T34" fmla="+- 0 168 139"/>
                            <a:gd name="T35" fmla="*/ 168 h 87"/>
                            <a:gd name="T36" fmla="+- 0 10499 1412"/>
                            <a:gd name="T37" fmla="*/ T36 w 9088"/>
                            <a:gd name="T38" fmla="+- 0 139 139"/>
                            <a:gd name="T39" fmla="*/ 139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88" h="87">
                              <a:moveTo>
                                <a:pt x="9087" y="58"/>
                              </a:moveTo>
                              <a:lnTo>
                                <a:pt x="0" y="58"/>
                              </a:lnTo>
                              <a:lnTo>
                                <a:pt x="0" y="86"/>
                              </a:lnTo>
                              <a:lnTo>
                                <a:pt x="9087" y="86"/>
                              </a:lnTo>
                              <a:lnTo>
                                <a:pt x="9087" y="58"/>
                              </a:lnTo>
                              <a:close/>
                              <a:moveTo>
                                <a:pt x="9087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9087" y="29"/>
                              </a:lnTo>
                              <a:lnTo>
                                <a:pt x="9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07EA" id="AutoShape 2" o:spid="_x0000_s1026" style="position:absolute;margin-left:70.6pt;margin-top:6.95pt;width:454.4pt;height:4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" path="m9087,58l,58,,86r9087,l9087,58xm9087,l,,,29r9087,l9087,xe" fillcolor="gray" stroked="f">
                <v:path arrowok="t" o:connecttype="custom" o:connectlocs="5770245,125095;0,125095;0,142875;5770245,142875;5770245,125095;5770245,88265;0,88265;0,106680;5770245,106680;5770245,88265" o:connectangles="0,0,0,0,0,0,0,0,0,0"/>
                <w10:wrap type="topAndBottom" anchorx="page"/>
              </v:shape>
            </w:pict>
          </mc:Fallback>
        </mc:AlternateContent>
      </w:r>
    </w:p>
    <w:p w14:paraId="675E7E32" w14:textId="77777777" w:rsidR="00977F01" w:rsidRDefault="00977F01">
      <w:pPr>
        <w:pStyle w:val="a3"/>
        <w:spacing w:before="11"/>
        <w:rPr>
          <w:rFonts w:ascii="Times New Roman"/>
          <w:b/>
          <w:sz w:val="21"/>
        </w:rPr>
      </w:pPr>
    </w:p>
    <w:p w14:paraId="2F1C324F" w14:textId="77777777" w:rsidR="00977F01" w:rsidRDefault="00F53933">
      <w:pPr>
        <w:spacing w:before="93"/>
        <w:ind w:left="6702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Annex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</w:t>
      </w:r>
    </w:p>
    <w:p w14:paraId="67C2DAFC" w14:textId="77777777" w:rsidR="00977F01" w:rsidRDefault="00F53933">
      <w:pPr>
        <w:pStyle w:val="a3"/>
        <w:spacing w:before="118"/>
        <w:ind w:left="6702" w:right="385"/>
      </w:pP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Clearing</w:t>
      </w:r>
      <w:r>
        <w:rPr>
          <w:spacing w:val="-5"/>
        </w:rPr>
        <w:t xml:space="preserve"> </w:t>
      </w:r>
      <w:r>
        <w:t>Participant</w:t>
      </w:r>
      <w:r>
        <w:rPr>
          <w:spacing w:val="-52"/>
        </w:rPr>
        <w:t xml:space="preserve"> </w:t>
      </w:r>
      <w:r>
        <w:t>Regulation</w:t>
      </w:r>
    </w:p>
    <w:p w14:paraId="3957F108" w14:textId="77777777" w:rsidR="00977F01" w:rsidRDefault="00977F01">
      <w:pPr>
        <w:pStyle w:val="a3"/>
        <w:rPr>
          <w:sz w:val="22"/>
        </w:rPr>
      </w:pPr>
    </w:p>
    <w:p w14:paraId="7DC68091" w14:textId="77777777" w:rsidR="00977F01" w:rsidRDefault="00977F01">
      <w:pPr>
        <w:pStyle w:val="a3"/>
        <w:rPr>
          <w:sz w:val="19"/>
        </w:rPr>
      </w:pPr>
    </w:p>
    <w:p w14:paraId="433F3183" w14:textId="77777777" w:rsidR="00977F01" w:rsidRDefault="00F53933">
      <w:pPr>
        <w:pStyle w:val="a4"/>
      </w:pPr>
      <w:r>
        <w:rPr>
          <w:color w:val="800000"/>
        </w:rPr>
        <w:t>R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E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Q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U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I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R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E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M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E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N</w:t>
      </w:r>
      <w:r>
        <w:rPr>
          <w:color w:val="800000"/>
          <w:spacing w:val="-9"/>
        </w:rPr>
        <w:t xml:space="preserve"> </w:t>
      </w:r>
      <w:r>
        <w:rPr>
          <w:color w:val="800000"/>
        </w:rPr>
        <w:t>T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S</w:t>
      </w:r>
    </w:p>
    <w:p w14:paraId="6A5B4BB9" w14:textId="77777777" w:rsidR="00977F01" w:rsidRDefault="00F53933">
      <w:pPr>
        <w:spacing w:before="119"/>
        <w:ind w:left="2993" w:right="299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800000"/>
          <w:sz w:val="24"/>
        </w:rPr>
        <w:t>to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candidates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to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obtain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the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status</w:t>
      </w:r>
    </w:p>
    <w:p w14:paraId="4B74EFF1" w14:textId="77777777" w:rsidR="00977F01" w:rsidRDefault="00F53933">
      <w:pPr>
        <w:ind w:left="1753" w:right="1757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800000"/>
          <w:sz w:val="24"/>
        </w:rPr>
        <w:t>of</w:t>
      </w:r>
      <w:r>
        <w:rPr>
          <w:rFonts w:asci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the</w:t>
      </w:r>
      <w:r>
        <w:rPr>
          <w:rFonts w:asci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clearing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participant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of</w:t>
      </w:r>
      <w:r>
        <w:rPr>
          <w:rFonts w:asci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KASE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Clearing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Center</w:t>
      </w:r>
      <w:r>
        <w:rPr>
          <w:rFonts w:asci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JSC</w:t>
      </w:r>
    </w:p>
    <w:p w14:paraId="6025D46E" w14:textId="77777777" w:rsidR="00977F01" w:rsidRDefault="00977F01">
      <w:pPr>
        <w:pStyle w:val="a3"/>
        <w:rPr>
          <w:rFonts w:ascii="Times New Roman"/>
          <w:b/>
        </w:rPr>
      </w:pPr>
    </w:p>
    <w:p w14:paraId="26535EAC" w14:textId="77777777" w:rsidR="00977F01" w:rsidRDefault="00977F01">
      <w:pPr>
        <w:pStyle w:val="a3"/>
        <w:spacing w:before="11"/>
        <w:rPr>
          <w:rFonts w:ascii="Times New Roman"/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227"/>
        <w:gridCol w:w="2153"/>
        <w:gridCol w:w="2251"/>
      </w:tblGrid>
      <w:tr w:rsidR="00977F01" w14:paraId="06C88095" w14:textId="77777777">
        <w:trPr>
          <w:trHeight w:val="578"/>
        </w:trPr>
        <w:tc>
          <w:tcPr>
            <w:tcW w:w="518" w:type="dxa"/>
            <w:shd w:val="clear" w:color="auto" w:fill="D9D9D9"/>
          </w:tcPr>
          <w:p w14:paraId="6763B6BC" w14:textId="77777777" w:rsidR="00977F01" w:rsidRDefault="00F53933">
            <w:pPr>
              <w:pStyle w:val="TableParagraph"/>
              <w:spacing w:before="175"/>
              <w:ind w:left="93" w:righ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No.</w:t>
            </w:r>
          </w:p>
        </w:tc>
        <w:tc>
          <w:tcPr>
            <w:tcW w:w="4227" w:type="dxa"/>
            <w:shd w:val="clear" w:color="auto" w:fill="D9D9D9"/>
          </w:tcPr>
          <w:p w14:paraId="77664AB9" w14:textId="77777777" w:rsidR="00977F01" w:rsidRDefault="00F53933">
            <w:pPr>
              <w:pStyle w:val="TableParagraph"/>
              <w:spacing w:before="175"/>
              <w:ind w:left="1544" w:right="15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Requirement</w:t>
            </w:r>
          </w:p>
        </w:tc>
        <w:tc>
          <w:tcPr>
            <w:tcW w:w="2153" w:type="dxa"/>
            <w:shd w:val="clear" w:color="auto" w:fill="D9D9D9"/>
          </w:tcPr>
          <w:p w14:paraId="2A4D81C9" w14:textId="77777777" w:rsidR="00977F01" w:rsidRDefault="00F53933">
            <w:pPr>
              <w:pStyle w:val="TableParagraph"/>
              <w:spacing w:before="175"/>
              <w:ind w:left="267" w:right="2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"Currency"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category</w:t>
            </w:r>
          </w:p>
        </w:tc>
        <w:tc>
          <w:tcPr>
            <w:tcW w:w="2251" w:type="dxa"/>
            <w:shd w:val="clear" w:color="auto" w:fill="D9D9D9"/>
          </w:tcPr>
          <w:p w14:paraId="7A78C91E" w14:textId="77777777" w:rsidR="00977F01" w:rsidRDefault="00F53933">
            <w:pPr>
              <w:pStyle w:val="TableParagraph"/>
              <w:ind w:left="185" w:firstLine="32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"Stock</w:t>
            </w:r>
            <w:r>
              <w:rPr>
                <w:rFonts w:asci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market",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"derivatives</w:t>
            </w:r>
            <w:r>
              <w:rPr>
                <w:rFonts w:ascii="Arial"/>
                <w:b/>
                <w:spacing w:val="3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categories"</w:t>
            </w:r>
          </w:p>
        </w:tc>
      </w:tr>
      <w:tr w:rsidR="00977F01" w14:paraId="7EE71078" w14:textId="77777777">
        <w:trPr>
          <w:trHeight w:val="229"/>
        </w:trPr>
        <w:tc>
          <w:tcPr>
            <w:tcW w:w="518" w:type="dxa"/>
            <w:shd w:val="clear" w:color="auto" w:fill="F1F1F1"/>
          </w:tcPr>
          <w:p w14:paraId="54F99132" w14:textId="77777777" w:rsidR="00977F01" w:rsidRDefault="00977F0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27" w:type="dxa"/>
            <w:shd w:val="clear" w:color="auto" w:fill="F1F1F1"/>
          </w:tcPr>
          <w:p w14:paraId="0544066E" w14:textId="77777777" w:rsidR="00977F01" w:rsidRDefault="00F53933">
            <w:pPr>
              <w:pStyle w:val="TableParagraph"/>
              <w:spacing w:before="0" w:line="210" w:lineRule="exact"/>
              <w:ind w:lef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2153" w:type="dxa"/>
            <w:shd w:val="clear" w:color="auto" w:fill="F1F1F1"/>
          </w:tcPr>
          <w:p w14:paraId="1DB76695" w14:textId="77777777" w:rsidR="00977F01" w:rsidRDefault="00F53933">
            <w:pPr>
              <w:pStyle w:val="TableParagraph"/>
              <w:spacing w:before="0"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  <w:tc>
          <w:tcPr>
            <w:tcW w:w="2251" w:type="dxa"/>
            <w:shd w:val="clear" w:color="auto" w:fill="F1F1F1"/>
          </w:tcPr>
          <w:p w14:paraId="1FE71395" w14:textId="77777777" w:rsidR="00977F01" w:rsidRDefault="00F53933">
            <w:pPr>
              <w:pStyle w:val="TableParagraph"/>
              <w:spacing w:before="0" w:line="210" w:lineRule="exact"/>
              <w:ind w:left="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</w:tr>
      <w:tr w:rsidR="00977F01" w14:paraId="55993CFB" w14:textId="77777777">
        <w:trPr>
          <w:trHeight w:val="460"/>
        </w:trPr>
        <w:tc>
          <w:tcPr>
            <w:tcW w:w="518" w:type="dxa"/>
          </w:tcPr>
          <w:p w14:paraId="016FC788" w14:textId="77777777" w:rsidR="00977F01" w:rsidRDefault="00F53933">
            <w:pPr>
              <w:pStyle w:val="TableParagraph"/>
              <w:ind w:left="91" w:right="8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27" w:type="dxa"/>
          </w:tcPr>
          <w:p w14:paraId="38464A4E" w14:textId="77777777" w:rsidR="00977F01" w:rsidRDefault="00F53933">
            <w:pPr>
              <w:pStyle w:val="TableParagraph"/>
              <w:spacing w:before="0" w:line="230" w:lineRule="exact"/>
              <w:ind w:left="60" w:right="45"/>
              <w:jc w:val="left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Kazakhstan</w:t>
            </w:r>
          </w:p>
        </w:tc>
        <w:tc>
          <w:tcPr>
            <w:tcW w:w="2153" w:type="dxa"/>
          </w:tcPr>
          <w:p w14:paraId="7B9D5804" w14:textId="77777777" w:rsidR="00977F01" w:rsidRDefault="00F53933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251" w:type="dxa"/>
          </w:tcPr>
          <w:p w14:paraId="5E469A45" w14:textId="77777777" w:rsidR="00977F01" w:rsidRDefault="00F5393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977F01" w14:paraId="0CBD031F" w14:textId="77777777">
        <w:trPr>
          <w:trHeight w:val="1499"/>
        </w:trPr>
        <w:tc>
          <w:tcPr>
            <w:tcW w:w="518" w:type="dxa"/>
          </w:tcPr>
          <w:p w14:paraId="72C542F2" w14:textId="77777777" w:rsidR="00977F01" w:rsidRDefault="00F53933">
            <w:pPr>
              <w:pStyle w:val="TableParagraph"/>
              <w:ind w:left="91" w:right="8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27" w:type="dxa"/>
          </w:tcPr>
          <w:p w14:paraId="14A62EFC" w14:textId="77777777" w:rsidR="00977F01" w:rsidRDefault="00F53933">
            <w:pPr>
              <w:pStyle w:val="TableParagraph"/>
              <w:spacing w:before="0"/>
              <w:ind w:left="60" w:right="137"/>
              <w:jc w:val="left"/>
              <w:rPr>
                <w:sz w:val="20"/>
              </w:rPr>
            </w:pPr>
            <w:r>
              <w:rPr>
                <w:sz w:val="20"/>
              </w:rPr>
              <w:t>Maintain accounting records and prepare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financial statements subject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 of international 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reporting standards and the laws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Kazakhstan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</w:tc>
        <w:tc>
          <w:tcPr>
            <w:tcW w:w="2153" w:type="dxa"/>
          </w:tcPr>
          <w:p w14:paraId="466530C5" w14:textId="77777777" w:rsidR="00977F01" w:rsidRDefault="00F53933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251" w:type="dxa"/>
          </w:tcPr>
          <w:p w14:paraId="330CCA63" w14:textId="77777777" w:rsidR="00977F01" w:rsidRDefault="00F5393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977F01" w14:paraId="7B317F0D" w14:textId="77777777">
        <w:trPr>
          <w:trHeight w:val="580"/>
        </w:trPr>
        <w:tc>
          <w:tcPr>
            <w:tcW w:w="518" w:type="dxa"/>
          </w:tcPr>
          <w:p w14:paraId="4A2D76DB" w14:textId="77777777" w:rsidR="00977F01" w:rsidRDefault="00F53933">
            <w:pPr>
              <w:pStyle w:val="TableParagraph"/>
              <w:ind w:left="91" w:right="8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227" w:type="dxa"/>
          </w:tcPr>
          <w:p w14:paraId="4D358B0C" w14:textId="77777777" w:rsidR="00977F01" w:rsidRDefault="00F53933">
            <w:pPr>
              <w:pStyle w:val="TableParagraph"/>
              <w:spacing w:before="0"/>
              <w:ind w:left="60" w:right="179"/>
              <w:jc w:val="left"/>
              <w:rPr>
                <w:sz w:val="20"/>
              </w:rPr>
            </w:pPr>
            <w:r>
              <w:rPr>
                <w:sz w:val="20"/>
              </w:rPr>
              <w:t>Comply with the equity capital adequacy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established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Authorized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</w:p>
        </w:tc>
        <w:tc>
          <w:tcPr>
            <w:tcW w:w="2153" w:type="dxa"/>
          </w:tcPr>
          <w:p w14:paraId="1A241CE2" w14:textId="77777777" w:rsidR="00977F01" w:rsidRDefault="00F53933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251" w:type="dxa"/>
          </w:tcPr>
          <w:p w14:paraId="7674D58D" w14:textId="77777777" w:rsidR="00977F01" w:rsidRDefault="00F5393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977F01" w14:paraId="6FA3FC10" w14:textId="77777777">
        <w:trPr>
          <w:trHeight w:val="580"/>
        </w:trPr>
        <w:tc>
          <w:tcPr>
            <w:tcW w:w="518" w:type="dxa"/>
          </w:tcPr>
          <w:p w14:paraId="34E4073D" w14:textId="77777777" w:rsidR="00977F01" w:rsidRDefault="00F53933">
            <w:pPr>
              <w:pStyle w:val="TableParagraph"/>
              <w:spacing w:before="60"/>
              <w:ind w:left="91" w:right="8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227" w:type="dxa"/>
          </w:tcPr>
          <w:p w14:paraId="2AF69032" w14:textId="77777777" w:rsidR="00977F01" w:rsidRDefault="00F53933">
            <w:pPr>
              <w:pStyle w:val="TableParagraph"/>
              <w:spacing w:before="0"/>
              <w:ind w:left="60" w:right="248"/>
              <w:jc w:val="left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</w:p>
        </w:tc>
        <w:tc>
          <w:tcPr>
            <w:tcW w:w="2153" w:type="dxa"/>
          </w:tcPr>
          <w:p w14:paraId="50068A42" w14:textId="77777777" w:rsidR="00977F01" w:rsidRDefault="00F53933">
            <w:pPr>
              <w:pStyle w:val="TableParagraph"/>
              <w:spacing w:before="60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251" w:type="dxa"/>
          </w:tcPr>
          <w:p w14:paraId="25F2D361" w14:textId="77777777" w:rsidR="00977F01" w:rsidRDefault="00F53933">
            <w:pPr>
              <w:pStyle w:val="TableParagraph"/>
              <w:spacing w:before="6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977F01" w14:paraId="3F8C164E" w14:textId="77777777">
        <w:trPr>
          <w:trHeight w:val="2649"/>
        </w:trPr>
        <w:tc>
          <w:tcPr>
            <w:tcW w:w="518" w:type="dxa"/>
          </w:tcPr>
          <w:p w14:paraId="0109EB20" w14:textId="77777777" w:rsidR="00977F01" w:rsidRDefault="00F53933">
            <w:pPr>
              <w:pStyle w:val="TableParagraph"/>
              <w:ind w:left="91" w:right="8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227" w:type="dxa"/>
          </w:tcPr>
          <w:p w14:paraId="748DE118" w14:textId="77777777" w:rsidR="00977F01" w:rsidRDefault="00F53933">
            <w:pPr>
              <w:pStyle w:val="TableParagraph"/>
              <w:spacing w:before="0"/>
              <w:ind w:left="60" w:right="102"/>
              <w:jc w:val="left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right provided for by the laws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 of Kazakhstan to conduct banking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currencies, including to carry out transactions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(carry out exchange operations) with foreign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currencies, or have a valid license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authorized body to organize exchange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operations with foreign currency (except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organizing exchange transactio</w:t>
            </w:r>
            <w:r>
              <w:rPr>
                <w:sz w:val="20"/>
              </w:rPr>
              <w:t>ns with cash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currency)</w:t>
            </w:r>
          </w:p>
        </w:tc>
        <w:tc>
          <w:tcPr>
            <w:tcW w:w="2153" w:type="dxa"/>
          </w:tcPr>
          <w:p w14:paraId="020157F3" w14:textId="77777777" w:rsidR="00977F01" w:rsidRDefault="00F53933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251" w:type="dxa"/>
          </w:tcPr>
          <w:p w14:paraId="0897B875" w14:textId="77777777" w:rsidR="00977F01" w:rsidRDefault="00F53933"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  <w:tr w:rsidR="00977F01" w14:paraId="33CAD9A7" w14:textId="77777777">
        <w:trPr>
          <w:trHeight w:val="1269"/>
        </w:trPr>
        <w:tc>
          <w:tcPr>
            <w:tcW w:w="518" w:type="dxa"/>
          </w:tcPr>
          <w:p w14:paraId="7C4088D6" w14:textId="77777777" w:rsidR="00977F01" w:rsidRDefault="00F53933">
            <w:pPr>
              <w:pStyle w:val="TableParagraph"/>
              <w:ind w:left="91" w:right="8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227" w:type="dxa"/>
          </w:tcPr>
          <w:p w14:paraId="52CE7AD8" w14:textId="77777777" w:rsidR="00977F01" w:rsidRDefault="00F53933">
            <w:pPr>
              <w:pStyle w:val="TableParagraph"/>
              <w:spacing w:before="0"/>
              <w:ind w:left="60" w:right="162"/>
              <w:jc w:val="left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 the right provided for by the laws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 of Kazakhstan to carry 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brokerage and/or dealer activities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securities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</w:p>
        </w:tc>
        <w:tc>
          <w:tcPr>
            <w:tcW w:w="2153" w:type="dxa"/>
          </w:tcPr>
          <w:p w14:paraId="564B891C" w14:textId="77777777" w:rsidR="00977F01" w:rsidRDefault="00F5393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251" w:type="dxa"/>
          </w:tcPr>
          <w:p w14:paraId="2AD7CC71" w14:textId="77777777" w:rsidR="00977F01" w:rsidRDefault="00F5393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977F01" w14:paraId="5B56181E" w14:textId="77777777">
        <w:trPr>
          <w:trHeight w:val="580"/>
        </w:trPr>
        <w:tc>
          <w:tcPr>
            <w:tcW w:w="518" w:type="dxa"/>
          </w:tcPr>
          <w:p w14:paraId="080CA3E7" w14:textId="77777777" w:rsidR="00977F01" w:rsidRDefault="00F53933">
            <w:pPr>
              <w:pStyle w:val="TableParagraph"/>
              <w:spacing w:before="62"/>
              <w:ind w:left="91" w:right="84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227" w:type="dxa"/>
          </w:tcPr>
          <w:p w14:paraId="67F88C4A" w14:textId="77777777" w:rsidR="00977F01" w:rsidRDefault="00F53933">
            <w:pPr>
              <w:pStyle w:val="TableParagraph"/>
              <w:spacing w:before="0"/>
              <w:ind w:left="60" w:right="497"/>
              <w:jc w:val="left"/>
              <w:rPr>
                <w:sz w:val="20"/>
              </w:rPr>
            </w:pPr>
            <w:r>
              <w:rPr>
                <w:sz w:val="20"/>
              </w:rPr>
              <w:t>Availability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exchange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eTransfer.kz</w:t>
            </w:r>
          </w:p>
        </w:tc>
        <w:tc>
          <w:tcPr>
            <w:tcW w:w="2153" w:type="dxa"/>
          </w:tcPr>
          <w:p w14:paraId="452AD5A3" w14:textId="77777777" w:rsidR="00977F01" w:rsidRDefault="00F53933">
            <w:pPr>
              <w:pStyle w:val="TableParagraph"/>
              <w:spacing w:before="62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251" w:type="dxa"/>
          </w:tcPr>
          <w:p w14:paraId="1752B77E" w14:textId="77777777" w:rsidR="00977F01" w:rsidRDefault="00F53933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 w14:paraId="10E80B59" w14:textId="77777777" w:rsidR="00977F01" w:rsidRDefault="00977F01">
      <w:pPr>
        <w:pStyle w:val="a3"/>
        <w:spacing w:before="4"/>
        <w:rPr>
          <w:rFonts w:ascii="Times New Roman"/>
          <w:b/>
          <w:sz w:val="22"/>
        </w:rPr>
      </w:pPr>
    </w:p>
    <w:p w14:paraId="3107FDA5" w14:textId="77777777" w:rsidR="00977F01" w:rsidRDefault="00F53933">
      <w:pPr>
        <w:pStyle w:val="1"/>
        <w:ind w:left="180"/>
        <w:rPr>
          <w:rFonts w:ascii="Arial"/>
        </w:rPr>
      </w:pPr>
      <w:r>
        <w:rPr>
          <w:rFonts w:ascii="Arial"/>
        </w:rPr>
        <w:t>Notes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table:</w:t>
      </w:r>
    </w:p>
    <w:p w14:paraId="1A9A7225" w14:textId="77777777" w:rsidR="00977F01" w:rsidRDefault="00F53933">
      <w:pPr>
        <w:pStyle w:val="a5"/>
        <w:numPr>
          <w:ilvl w:val="0"/>
          <w:numId w:val="1"/>
        </w:numPr>
        <w:tabs>
          <w:tab w:val="left" w:pos="613"/>
        </w:tabs>
        <w:spacing w:before="120"/>
        <w:ind w:right="180"/>
        <w:jc w:val="both"/>
        <w:rPr>
          <w:sz w:val="20"/>
        </w:rPr>
      </w:pPr>
      <w:r>
        <w:rPr>
          <w:sz w:val="20"/>
        </w:rPr>
        <w:t>in column 2 “+” means that the requirement is applicable to candidates for clearing participants</w:t>
      </w:r>
      <w:r>
        <w:rPr>
          <w:spacing w:val="1"/>
          <w:sz w:val="20"/>
        </w:rPr>
        <w:t xml:space="preserve"> </w:t>
      </w:r>
      <w:r>
        <w:rPr>
          <w:sz w:val="20"/>
        </w:rPr>
        <w:t>(clearing participants) in the “currency” category; “–” means that the requirement is not applicable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candidates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clearing</w:t>
      </w:r>
      <w:r>
        <w:rPr>
          <w:spacing w:val="-2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2"/>
          <w:sz w:val="20"/>
        </w:rPr>
        <w:t xml:space="preserve"> </w:t>
      </w:r>
      <w:r>
        <w:rPr>
          <w:sz w:val="20"/>
        </w:rPr>
        <w:t>(clearing</w:t>
      </w:r>
      <w:r>
        <w:rPr>
          <w:spacing w:val="-2"/>
          <w:sz w:val="20"/>
        </w:rPr>
        <w:t xml:space="preserve"> </w:t>
      </w:r>
      <w:r>
        <w:rPr>
          <w:sz w:val="20"/>
        </w:rPr>
        <w:t>particip</w:t>
      </w:r>
      <w:r>
        <w:rPr>
          <w:sz w:val="20"/>
        </w:rPr>
        <w:t>ants)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“currency”</w:t>
      </w:r>
      <w:r>
        <w:rPr>
          <w:spacing w:val="-2"/>
          <w:sz w:val="20"/>
        </w:rPr>
        <w:t xml:space="preserve"> </w:t>
      </w:r>
      <w:r>
        <w:rPr>
          <w:sz w:val="20"/>
        </w:rPr>
        <w:t>category;</w:t>
      </w:r>
    </w:p>
    <w:p w14:paraId="3219A8B2" w14:textId="77777777" w:rsidR="00977F01" w:rsidRDefault="00F53933">
      <w:pPr>
        <w:pStyle w:val="a5"/>
        <w:numPr>
          <w:ilvl w:val="0"/>
          <w:numId w:val="1"/>
        </w:numPr>
        <w:tabs>
          <w:tab w:val="left" w:pos="613"/>
        </w:tabs>
        <w:jc w:val="both"/>
        <w:rPr>
          <w:sz w:val="20"/>
        </w:rPr>
      </w:pPr>
      <w:r>
        <w:rPr>
          <w:sz w:val="20"/>
        </w:rPr>
        <w:t>in column 3 “+” means that the requirement is applicable to candidates for clearing participants</w:t>
      </w:r>
      <w:r>
        <w:rPr>
          <w:spacing w:val="1"/>
          <w:sz w:val="20"/>
        </w:rPr>
        <w:t xml:space="preserve"> </w:t>
      </w:r>
      <w:r>
        <w:rPr>
          <w:sz w:val="20"/>
        </w:rPr>
        <w:t>(clearing participants) in the “stock” category and/or in the “derivatives” category; “–” means that</w:t>
      </w:r>
      <w:r>
        <w:rPr>
          <w:spacing w:val="1"/>
          <w:sz w:val="20"/>
        </w:rPr>
        <w:t xml:space="preserve"> </w:t>
      </w:r>
      <w:r>
        <w:rPr>
          <w:sz w:val="20"/>
        </w:rPr>
        <w:t>the requirement is not a</w:t>
      </w:r>
      <w:r>
        <w:rPr>
          <w:sz w:val="20"/>
        </w:rPr>
        <w:t>pplicable to candidates for clearing participants (clearing participants) 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“stock” category</w:t>
      </w:r>
      <w:r>
        <w:rPr>
          <w:spacing w:val="-1"/>
          <w:sz w:val="20"/>
        </w:rPr>
        <w:t xml:space="preserve"> </w:t>
      </w:r>
      <w:r>
        <w:rPr>
          <w:sz w:val="20"/>
        </w:rPr>
        <w:t>and/or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“derivatives” category.</w:t>
      </w:r>
    </w:p>
    <w:p w14:paraId="1D69716F" w14:textId="77777777" w:rsidR="00977F01" w:rsidRDefault="00977F01">
      <w:pPr>
        <w:pStyle w:val="a3"/>
      </w:pPr>
    </w:p>
    <w:p w14:paraId="71316EB6" w14:textId="77777777" w:rsidR="00977F01" w:rsidRDefault="00977F01">
      <w:pPr>
        <w:pStyle w:val="a3"/>
        <w:spacing w:before="6"/>
        <w:rPr>
          <w:sz w:val="16"/>
        </w:rPr>
      </w:pPr>
    </w:p>
    <w:p w14:paraId="10712F96" w14:textId="77777777" w:rsidR="00977F01" w:rsidRDefault="00F53933">
      <w:pPr>
        <w:pStyle w:val="1"/>
        <w:ind w:right="2993"/>
        <w:jc w:val="center"/>
        <w:rPr>
          <w:rFonts w:ascii="Arial"/>
        </w:rPr>
      </w:pPr>
      <w:r>
        <w:rPr>
          <w:rFonts w:ascii="Arial"/>
          <w:color w:val="7E7E7E"/>
        </w:rPr>
        <w:t>17</w:t>
      </w:r>
    </w:p>
    <w:sectPr w:rsidR="00977F01">
      <w:type w:val="continuous"/>
      <w:pgSz w:w="11910" w:h="16840"/>
      <w:pgMar w:top="64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766F"/>
    <w:multiLevelType w:val="hybridMultilevel"/>
    <w:tmpl w:val="A15E05D4"/>
    <w:lvl w:ilvl="0" w:tplc="F98C2A26">
      <w:start w:val="1"/>
      <w:numFmt w:val="decimal"/>
      <w:lvlText w:val="%1)"/>
      <w:lvlJc w:val="left"/>
      <w:pPr>
        <w:ind w:left="612" w:hanging="4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7E66A212">
      <w:numFmt w:val="bullet"/>
      <w:lvlText w:val="•"/>
      <w:lvlJc w:val="left"/>
      <w:pPr>
        <w:ind w:left="1496" w:hanging="432"/>
      </w:pPr>
      <w:rPr>
        <w:rFonts w:hint="default"/>
        <w:lang w:val="en-US" w:eastAsia="en-US" w:bidi="ar-SA"/>
      </w:rPr>
    </w:lvl>
    <w:lvl w:ilvl="2" w:tplc="2CC29812">
      <w:numFmt w:val="bullet"/>
      <w:lvlText w:val="•"/>
      <w:lvlJc w:val="left"/>
      <w:pPr>
        <w:ind w:left="2373" w:hanging="432"/>
      </w:pPr>
      <w:rPr>
        <w:rFonts w:hint="default"/>
        <w:lang w:val="en-US" w:eastAsia="en-US" w:bidi="ar-SA"/>
      </w:rPr>
    </w:lvl>
    <w:lvl w:ilvl="3" w:tplc="5D444F6A">
      <w:numFmt w:val="bullet"/>
      <w:lvlText w:val="•"/>
      <w:lvlJc w:val="left"/>
      <w:pPr>
        <w:ind w:left="3250" w:hanging="432"/>
      </w:pPr>
      <w:rPr>
        <w:rFonts w:hint="default"/>
        <w:lang w:val="en-US" w:eastAsia="en-US" w:bidi="ar-SA"/>
      </w:rPr>
    </w:lvl>
    <w:lvl w:ilvl="4" w:tplc="25FCAA24">
      <w:numFmt w:val="bullet"/>
      <w:lvlText w:val="•"/>
      <w:lvlJc w:val="left"/>
      <w:pPr>
        <w:ind w:left="4127" w:hanging="432"/>
      </w:pPr>
      <w:rPr>
        <w:rFonts w:hint="default"/>
        <w:lang w:val="en-US" w:eastAsia="en-US" w:bidi="ar-SA"/>
      </w:rPr>
    </w:lvl>
    <w:lvl w:ilvl="5" w:tplc="D982D51E">
      <w:numFmt w:val="bullet"/>
      <w:lvlText w:val="•"/>
      <w:lvlJc w:val="left"/>
      <w:pPr>
        <w:ind w:left="5004" w:hanging="432"/>
      </w:pPr>
      <w:rPr>
        <w:rFonts w:hint="default"/>
        <w:lang w:val="en-US" w:eastAsia="en-US" w:bidi="ar-SA"/>
      </w:rPr>
    </w:lvl>
    <w:lvl w:ilvl="6" w:tplc="5748C9D4">
      <w:numFmt w:val="bullet"/>
      <w:lvlText w:val="•"/>
      <w:lvlJc w:val="left"/>
      <w:pPr>
        <w:ind w:left="5881" w:hanging="432"/>
      </w:pPr>
      <w:rPr>
        <w:rFonts w:hint="default"/>
        <w:lang w:val="en-US" w:eastAsia="en-US" w:bidi="ar-SA"/>
      </w:rPr>
    </w:lvl>
    <w:lvl w:ilvl="7" w:tplc="58367398">
      <w:numFmt w:val="bullet"/>
      <w:lvlText w:val="•"/>
      <w:lvlJc w:val="left"/>
      <w:pPr>
        <w:ind w:left="6758" w:hanging="432"/>
      </w:pPr>
      <w:rPr>
        <w:rFonts w:hint="default"/>
        <w:lang w:val="en-US" w:eastAsia="en-US" w:bidi="ar-SA"/>
      </w:rPr>
    </w:lvl>
    <w:lvl w:ilvl="8" w:tplc="11A06CE6">
      <w:numFmt w:val="bullet"/>
      <w:lvlText w:val="•"/>
      <w:lvlJc w:val="left"/>
      <w:pPr>
        <w:ind w:left="7635" w:hanging="43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01"/>
    <w:rsid w:val="00977F01"/>
    <w:rsid w:val="00F5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B2A09F"/>
  <w15:docId w15:val="{20A847AC-2F61-4AB3-97AE-73EFC927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9"/>
    <w:qFormat/>
    <w:pPr>
      <w:spacing w:before="93"/>
      <w:ind w:left="2993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2937" w:right="299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19"/>
      <w:ind w:left="612" w:right="176" w:hanging="43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9"/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CLEARING CENTER JSC</dc:title>
  <dc:creator>Жақман Ұлпан Қайратбекқызы</dc:creator>
  <cp:lastModifiedBy>Жақман Ұлпан Қайратбекқызы</cp:lastModifiedBy>
  <cp:revision>2</cp:revision>
  <dcterms:created xsi:type="dcterms:W3CDTF">2024-11-04T10:24:00Z</dcterms:created>
  <dcterms:modified xsi:type="dcterms:W3CDTF">2024-11-04T10:24:00Z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2024-11-01T00:00:00Z</vt:filetime>
  </property>
</Properties>
</file>